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>
      <w:pPr>
        <w:ind w:firstLine="0"/>
        <w:rPr>
          <w:sz w:val="2"/>
        </w:rPr>
      </w:pPr>
    </w:p>
    <w:p>
      <w:pPr>
        <w:ind w:firstLine="0"/>
        <w:rPr>
          <w:rFonts w:ascii="Times New Roman" w:eastAsia="Times New Roman" w:hAnsi="Times New Roman" w:cs="Times New Roman" w:hint="cs"/>
          <w:sz w:val="2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69"/>
        </w:tabs>
        <w:spacing w:before="0" w:after="0"/>
        <w:ind w:left="0" w:right="0" w:firstLine="0"/>
        <w:rPr>
          <w:rFonts w:ascii="Times New Roman" w:eastAsia="Times New Roman" w:hAnsi="Times New Roman" w:cs="Times New Roman" w:hint="cs"/>
          <w:sz w:val="2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ab/>
      </w:r>
      <w:r>
        <w:rPr>
          <w:rFonts w:ascii="Times New Roman" w:eastAsia="Times New Roman" w:hAnsi="Times New Roman" w:cs="Times New Roman" w:hint="cs"/>
          <w:color w:val="000000"/>
          <w:sz w:val="24"/>
        </w:rPr>
        <w:t>УТВЕРЖДАЮ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69"/>
        </w:tabs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ab/>
      </w:r>
      <w:r>
        <w:rPr>
          <w:rFonts w:ascii="Times New Roman" w:eastAsia="Times New Roman" w:hAnsi="Times New Roman" w:cs="Times New Roman" w:hint="cs"/>
          <w:color w:val="000000"/>
          <w:sz w:val="24"/>
        </w:rPr>
        <w:t>Председатель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69"/>
        </w:tabs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ab/>
      </w: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судебной коллегии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69"/>
        </w:tabs>
        <w:spacing w:before="0" w:after="0"/>
        <w:ind w:left="5669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по гражданским делам Карагандинского областного суда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69"/>
        </w:tabs>
        <w:spacing w:before="0" w:after="0"/>
        <w:ind w:left="5669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>_______________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>Ж.К. Сейдалина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69"/>
        </w:tabs>
        <w:spacing w:before="0" w:after="0"/>
        <w:ind w:left="5669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>«______» ____________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>2016 года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b/>
          <w:color w:val="000000"/>
          <w:sz w:val="24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b/>
          <w:color w:val="000000"/>
          <w:sz w:val="24"/>
        </w:rPr>
        <w:t>П Л А Н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проведения образовательных мероприятий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по гражданскому, гражданскому процессуальному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и административному законодательствам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jc w:val="center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>на 2 полугодие 2016 года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</w:t>
      </w:r>
    </w:p>
    <w:tbl>
      <w:tblPr>
        <w:tblStyle w:val="GenStyleDef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"/>
        <w:gridCol w:w="5749"/>
        <w:gridCol w:w="1701"/>
        <w:gridCol w:w="1984"/>
      </w:tblGrid>
      <w:tr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№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п/п</w:t>
            </w:r>
          </w:p>
        </w:tc>
        <w:tc>
          <w:tcPr>
            <w:tcW w:w="5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Наименование  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Сроки   исполнения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Ответственные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4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Секция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гражданского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права и процесса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Круглый стол на тему: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«Вопросы применения трудового   законодательства»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21.09.2016г.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Пак И.Г.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«Практика   рассмотрения дел, связанных с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приватизацией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жилых   помещений»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30.09.2016г.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Азбанбаев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М.А.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«Некоторые   вопросы при обращении взыскания на имущество должников в рамках   исполнительного производства»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30.09.2016г.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Баймолдин   Ж.Х.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«Вопросы   применения налогового законодательства»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30.09.2016г.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Казтаева   А.Т.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«Ломбардные   операции. Порядок взыскания по залоговым билетам»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30.09.2016г.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Егорова   Ж.М.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Секция   административно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права и процесса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«Дела   об административных правонарушениях, посягающих на институт государственной   власти»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30.09.2016г.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Бесембаев   Н.Б.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Секция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гражданского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права   и процесса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7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Круглый   стол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«Проблемные   вопросы применения законодательства «О банкротстве»»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13.10.2016г.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Сергазина   Р.Р.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8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1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«Проблемные   вопросы, возникающие при обжаловании действий (бездействий) местных   исполнительных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28.10.2016г.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Пугаев   И.В.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9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«Методы   сбора доказательств на стадиях гражданского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28.10.2016г.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Книтель   Е.Е.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«Отличие обращения взыскания на имущество   должника от изменения порядка и способа исполнения судебного акта»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28.10.2016г.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Крюков   Д.В.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«Об   особенностях права залога на жилое помещение»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28.10.2016г.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Тайбеков   Р.Б.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«Практика   рассмотрения дел, связанных с прекращением правособственности на земельный   участок и правоземлепользование»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28.10.2016г.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Мухамедин   Е.С.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Секция   административно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права и процесса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«Дела   об административных правонарушениях в сфере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28.10.2016г.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Кузнецова   Н.Н.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Секция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гражданского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права   и процесса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Круглый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стол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«Практика   рассмотрения дел, связанных с наследованием жилища»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03.11.2016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Годлевская   Н.С.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Круглый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стол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«Практика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рассмотрения дел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о прекращении правособственности на   жилище»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10.11.2016г.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Даненова   А.А.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«Правовое   регулирование обеспечения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исполнения   обязательств неустойки и залога»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25.11.2016г.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Мухамедов   А.Ю.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17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«Актуальные   вопросы судебной практики, связанных с гарантией и поручительством»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25.11.2016г.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Еримбетов   Т.М.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18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на тему: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            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«Практика применения налогового   законодательства по спорам между налоговыми органами и физическими лицами».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25.11.2016г.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Бертисканова Г.Т.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19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«Проблемные   вопросы применения процессуальных сроков исковой давности при рассмотрении   дел об обжаловании действий государственных органов и действий (бездействий)   судебных исполнителей»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25.11.2016г.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Ибрагимова   М.Н.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Секция   административно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права и процесса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92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«Дела   об административных правонарушениях в области налогообложения»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5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25.11.2016г.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Ермеков   Е.Т.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92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«Административное   взыскание и меры административно-правового воздействия»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5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25.11.2016г.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Кузнецова   Н.Н.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5"/>
        </w:trPr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Секция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гражданского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права   и процесса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Круглый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стол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«Актуальные   вопросы судебной практики договора страхования, вытекающие из гражданско-   правовой ответственности работодателя»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08.12.2016г.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Комиртасова   К.К.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   на тему: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«Актуальные   вопросы перемены лиц в обязательстве»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23.12.2016г.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Скорикова   Л.И.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Лекция   на тему: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«Особенности   рассмотрения дел об обжаловании действий (бездействий) частных судебных   исполнителей»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23.12.2016г.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Исабекова   Р.К.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«Недействительность   договора дарения»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23.12.2016г.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Талас   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Ә.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М.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Семинар   на тему: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«Вопросы   регулирования деятельности простого товарищества»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23.12.2016г.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Ибраева   Г.К.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Секция   административно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го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 права и процесса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27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Семинар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«Административное   правонарушения в области охраны окружающей среды, использование природных   ресурсов»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23.12.2016г.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Ермеков   Е.Т.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176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28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Лекция   на тему: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«Административная   ответственность несовершеннолетних»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0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23.12.2016г.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 w:firstLine="34"/>
              <w:rPr>
                <w:rFonts w:ascii="Times New Roman" w:eastAsia="Times New Roman" w:hAnsi="Times New Roman" w:cs="Times New Roman" w:hint="cs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</w:rPr>
              <w:t>Бесембаев   Н.Б.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>Судья,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 w:firstLine="0"/>
        <w:rPr>
          <w:rFonts w:ascii="Times New Roman" w:eastAsia="Times New Roman" w:hAnsi="Times New Roman" w:cs="Times New Roman" w:hint="cs"/>
        </w:rPr>
      </w:pPr>
      <w:r>
        <w:rPr>
          <w:rFonts w:ascii="Times New Roman" w:eastAsia="Times New Roman" w:hAnsi="Times New Roman" w:cs="Times New Roman" w:hint="cs"/>
          <w:color w:val="000000"/>
          <w:sz w:val="24"/>
        </w:rPr>
        <w:t>и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>.о.координатора учебных программ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        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ab/>
      </w:r>
      <w:r>
        <w:rPr>
          <w:rFonts w:ascii="Times New Roman" w:eastAsia="Times New Roman" w:hAnsi="Times New Roman" w:cs="Times New Roman" w:hint="cs"/>
          <w:color w:val="000000"/>
          <w:sz w:val="24"/>
        </w:rPr>
        <w:tab/>
      </w:r>
      <w:r>
        <w:rPr>
          <w:rFonts w:ascii="Times New Roman" w:eastAsia="Times New Roman" w:hAnsi="Times New Roman" w:cs="Times New Roman" w:hint="cs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 w:hint="cs"/>
          <w:color w:val="000000"/>
          <w:sz w:val="24"/>
        </w:rPr>
        <w:t>Д. Крюков</w:t>
      </w:r>
    </w:p>
    <w:p>
      <w:pPr>
        <w:rPr>
          <w:rFonts w:ascii="Times New Roman" w:eastAsia="Times New Roman" w:hAnsi="Times New Roman" w:cs="Times New Roman" w:hint="cs"/>
        </w:rPr>
      </w:pPr>
    </w:p>
    <w:p>
      <w:pPr>
        <w:rPr>
          <w:rFonts w:ascii="Times New Roman" w:eastAsia="Times New Roman" w:hAnsi="Times New Roman" w:cs="Times New Roman" w:hint="cs"/>
        </w:rPr>
      </w:pPr>
    </w:p>
    <w:sectPr>
      <w:headerReference w:type="default" r:id="rId4"/>
      <w:footerReference w:type="default" r:id="rId5"/>
      <w:pgSz w:w="11906" w:h="16838"/>
      <w:pgMar w:top="1134" w:right="851" w:bottom="1134" w:left="1134" w:header="85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Tahoma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  <w:font w:name="Cambr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Lines/>
      <w:ind w:firstLine="0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2" w:type="dxa"/>
      <w:jc w:val="center"/>
      <w:tblBorders>
        <w:bottom w:val="single" w:sz="4" w:space="0" w:color="AEAAAA"/>
      </w:tblBorders>
      <w:tblLayout w:type="fixed"/>
      <w:tblCellMar>
        <w:top w:w="57" w:type="dxa"/>
        <w:left w:w="0" w:type="dxa"/>
        <w:bottom w:w="170" w:type="dxa"/>
        <w:right w:w="57" w:type="dxa"/>
      </w:tblCellMar>
      <w:tblLook w:val="0680"/>
    </w:tblPr>
    <w:tblGrid>
      <w:gridCol w:w="2977"/>
      <w:gridCol w:w="6945"/>
    </w:tblGrid>
    <w:tr>
      <w:tblPrEx>
        <w:tblW w:w="9922" w:type="dxa"/>
        <w:jc w:val="center"/>
        <w:tblBorders>
          <w:bottom w:val="single" w:sz="4" w:space="0" w:color="AEAAAA"/>
        </w:tblBorders>
        <w:tblLayout w:type="fixed"/>
        <w:tblCellMar>
          <w:top w:w="57" w:type="dxa"/>
          <w:left w:w="0" w:type="dxa"/>
          <w:bottom w:w="170" w:type="dxa"/>
          <w:right w:w="57" w:type="dxa"/>
        </w:tblCellMar>
        <w:tblLook w:val="0680"/>
      </w:tblPrEx>
      <w:trPr>
        <w:trHeight w:val="425"/>
        <w:jc w:val="center"/>
      </w:trPr>
      <w:tc>
        <w:tcPr>
          <w:tcW w:w="2977" w:type="dxa"/>
          <w:shd w:val="clear" w:color="auto" w:fill="FFFFFF"/>
          <w:vAlign w:val="center"/>
        </w:tcPr>
        <w:p>
          <w:pPr>
            <w:pStyle w:val="a6"/>
            <w:widowControl w:val="0"/>
            <w:tabs>
              <w:tab w:val="right" w:pos="4904"/>
            </w:tabs>
            <w:jc w:val="left"/>
            <w:rPr>
              <w:color w:val="0070C0"/>
              <w:sz w:val="24"/>
            </w:rPr>
          </w:pPr>
          <w:r>
            <w:rPr>
              <w:color w:val="0070C0"/>
              <w:sz w:val="24"/>
              <w:szCs w:val="24"/>
              <w:lang w:val="en-US"/>
            </w:rPr>
            <w:drawing>
              <wp:inline distT="0" distB="0" distL="0" distR="0">
                <wp:extent cx="1800000" cy="37728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7728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"/>
                          <a:stretch>
                            <a:fillRect/>
                          </a:stretch>
                        </a:blipFill>
                      </pic:spPr>
                    </pic:pic>
                  </a:graphicData>
                </a:graphic>
              </wp:inline>
            </w:drawing>
          </w:r>
          <w:r>
            <w:rPr>
              <w:caps w:val="0"/>
              <w:color w:val="0070C0"/>
              <w:sz w:val="24"/>
              <w:szCs w:val="24"/>
            </w:rPr>
            <w:tab/>
          </w:r>
        </w:p>
      </w:tc>
      <w:tc>
        <w:tcPr>
          <w:tcW w:w="6945" w:type="dxa"/>
          <w:shd w:val="clear" w:color="auto" w:fill="FFFFFF"/>
          <w:vAlign w:val="center"/>
        </w:tcPr>
        <w:p>
          <w:pPr>
            <w:pStyle w:val="a6"/>
            <w:jc w:val="right"/>
            <w:rPr>
              <w:caps w:val="0"/>
              <w:color w:val="000000"/>
              <w:sz w:val="24"/>
              <w:lang w:val="en-US"/>
            </w:rPr>
          </w:pPr>
          <w:r>
            <w:rPr>
              <w:caps w:val="0"/>
              <w:color w:val="000000"/>
              <w:sz w:val="24"/>
              <w:szCs w:val="24"/>
            </w:rPr>
            <w:t>Внутренняя корреспонденция</w:t>
          </w:r>
        </w:p>
        <w:p>
          <w:pPr>
            <w:pStyle w:val="a6"/>
            <w:jc w:val="right"/>
            <w:rPr>
              <w:caps w:val="0"/>
              <w:color w:val="000000"/>
              <w:sz w:val="24"/>
            </w:rPr>
          </w:pPr>
          <w:r>
            <w:rPr>
              <w:caps w:val="0"/>
              <w:color w:val="000000"/>
              <w:sz w:val="24"/>
              <w:szCs w:val="24"/>
            </w:rPr>
            <w:t xml:space="preserve">  № 3599-16-1-2-5/87 / 20.07.2016</w:t>
          </w:r>
        </w:p>
      </w:tc>
    </w:tr>
  </w:tbl>
  <w:p>
    <w:pPr>
      <w:ind w:left="-140" w:right="-139" w:firstLine="0"/>
      <w:rPr>
        <w:lang w:val="en-US"/>
      </w:rPr>
    </w:pPr>
    <w:r>
      <w:rPr>
        <w:rFonts w:ascii="Times New Roman" w:eastAsia="Times New Roman" w:hAnsi="Times New Roman" w:cs="Times New Roman" w:hint="default"/>
        <w:color w:val="000000"/>
        <w:sz w:val="20"/>
      </w:rPr>
      <w:t xml:space="preserve">Карагандинский областной суд / Администратор судов по Карагандинской области / Отдел анализа и планирования </w:t>
    </w: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2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3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4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5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6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7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1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lowerLetter"/>
      <w:lvlText w:val="%2."/>
      <w:lvlJc w:val="left"/>
      <w:pPr>
        <w:ind w:left="1080" w:hanging="359"/>
      </w:pPr>
    </w:lvl>
    <w:lvl w:ilvl="2">
      <w:start w:val="1"/>
      <w:numFmt w:val="lowerRoman"/>
      <w:lvlText w:val="%3."/>
      <w:lvlJc w:val="right"/>
      <w:pPr>
        <w:ind w:left="1800" w:hanging="179"/>
      </w:pPr>
    </w:lvl>
    <w:lvl w:ilvl="3">
      <w:start w:val="1"/>
      <w:numFmt w:val="decimal"/>
      <w:lvlText w:val="%4."/>
      <w:lvlJc w:val="left"/>
      <w:pPr>
        <w:ind w:left="2520" w:hanging="359"/>
      </w:pPr>
    </w:lvl>
    <w:lvl w:ilvl="4">
      <w:start w:val="1"/>
      <w:numFmt w:val="lowerLetter"/>
      <w:lvlText w:val="%5."/>
      <w:lvlJc w:val="left"/>
      <w:pPr>
        <w:ind w:left="3240" w:hanging="359"/>
      </w:pPr>
    </w:lvl>
    <w:lvl w:ilvl="5">
      <w:start w:val="1"/>
      <w:numFmt w:val="lowerRoman"/>
      <w:lvlText w:val="%6."/>
      <w:lvlJc w:val="right"/>
      <w:pPr>
        <w:ind w:left="3960" w:hanging="179"/>
      </w:pPr>
    </w:lvl>
    <w:lvl w:ilvl="6">
      <w:start w:val="1"/>
      <w:numFmt w:val="decimal"/>
      <w:lvlText w:val="%7."/>
      <w:lvlJc w:val="left"/>
      <w:pPr>
        <w:ind w:left="4680" w:hanging="359"/>
      </w:pPr>
    </w:lvl>
    <w:lvl w:ilvl="7">
      <w:start w:val="1"/>
      <w:numFmt w:val="lowerLetter"/>
      <w:lvlText w:val="%8."/>
      <w:lvlJc w:val="left"/>
      <w:pPr>
        <w:ind w:left="5400" w:hanging="359"/>
      </w:pPr>
    </w:lvl>
    <w:lvl w:ilvl="8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 w:hint="default"/>
        <w:color w:val="000000"/>
        <w:spacing w:val="0"/>
        <w:position w:val="0"/>
        <w:sz w:val="22"/>
        <w:szCs w:val="22"/>
        <w:lang w:val="ru-RU" w:eastAsia="en-US" w:bidi="ar-SA"/>
      </w:rPr>
    </w:rPrDefault>
    <w:pPrDefault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0" w:beforeAutospacing="0" w:after="0" w:afterAutospacing="0" w:line="259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40" w:lineRule="auto"/>
      <w:ind w:firstLine="709"/>
      <w:jc w:val="both"/>
    </w:pPr>
    <w:rPr>
      <w:rFonts w:ascii="Times New Roman" w:hAnsi="Times New Roman" w:hint="default"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Heading2">
    <w:name w:val="Heading 2"/>
    <w:basedOn w:val="Normal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DefaultParagraphFont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DefaultParagraphFont"/>
    <w:uiPriority w:val="9"/>
    <w:semiHidden/>
    <w:rPr>
      <w:rFonts w:ascii="Times New Roman" w:hAnsi="Times New Roman" w:hint="default"/>
      <w:sz w:val="26"/>
      <w:szCs w:val="26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3">
    <w:name w:val="GenStyleDefTableGrid_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4">
    <w:name w:val="GenStyleDefTableGrid_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000000"/>
        </w:tcBorders>
      </w:tcPr>
    </w:tblStylePr>
    <w:tblStylePr w:type="firstRow">
      <w:tcPr>
        <w:tcBorders>
          <w:bottom w:val="single" w:sz="18" w:space="0" w:color="000000"/>
        </w:tcBorders>
      </w:tcPr>
    </w:tblStylePr>
    <w:tblStylePr w:type="lastCol">
      <w:tcPr>
        <w:tcBorders>
          <w:left w:val="single" w:sz="18" w:space="0" w:color="000000"/>
        </w:tcBorders>
      </w:tcPr>
    </w:tblStylePr>
    <w:tblStylePr w:type="lastRow">
      <w:tcPr>
        <w:tcBorders>
          <w:top w:val="single" w:sz="18" w:space="0" w:color="00000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365F91"/>
        </w:tcBorders>
      </w:tcPr>
    </w:tblStylePr>
    <w:tblStylePr w:type="firstRow">
      <w:tcPr>
        <w:tcBorders>
          <w:bottom w:val="single" w:sz="18" w:space="0" w:color="365F91"/>
        </w:tcBorders>
      </w:tcPr>
    </w:tblStylePr>
    <w:tblStylePr w:type="lastCol">
      <w:tcPr>
        <w:tcBorders>
          <w:left w:val="single" w:sz="18" w:space="0" w:color="365F91"/>
        </w:tcBorders>
      </w:tcPr>
    </w:tblStylePr>
    <w:tblStylePr w:type="lastRow">
      <w:tcPr>
        <w:tcBorders>
          <w:top w:val="single" w:sz="18" w:space="0" w:color="365F9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943634"/>
        </w:tcBorders>
      </w:tcPr>
    </w:tblStylePr>
    <w:tblStylePr w:type="firstRow">
      <w:tcPr>
        <w:tcBorders>
          <w:bottom w:val="single" w:sz="18" w:space="0" w:color="943634"/>
        </w:tcBorders>
      </w:tcPr>
    </w:tblStylePr>
    <w:tblStylePr w:type="lastCol">
      <w:tcPr>
        <w:tcBorders>
          <w:left w:val="single" w:sz="18" w:space="0" w:color="943634"/>
        </w:tcBorders>
      </w:tcPr>
    </w:tblStylePr>
    <w:tblStylePr w:type="lastRow">
      <w:tcPr>
        <w:tcBorders>
          <w:top w:val="single" w:sz="18" w:space="0" w:color="94363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76923C"/>
        </w:tcBorders>
      </w:tcPr>
    </w:tblStylePr>
    <w:tblStylePr w:type="firstRow">
      <w:tcPr>
        <w:tcBorders>
          <w:bottom w:val="single" w:sz="18" w:space="0" w:color="76923C"/>
        </w:tcBorders>
      </w:tcPr>
    </w:tblStylePr>
    <w:tblStylePr w:type="lastCol">
      <w:tcPr>
        <w:tcBorders>
          <w:left w:val="single" w:sz="18" w:space="0" w:color="76923C"/>
        </w:tcBorders>
      </w:tcPr>
    </w:tblStylePr>
    <w:tblStylePr w:type="lastRow">
      <w:tcPr>
        <w:tcBorders>
          <w:top w:val="single" w:sz="18" w:space="0" w:color="76923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5F497A"/>
        </w:tcBorders>
      </w:tcPr>
    </w:tblStylePr>
    <w:tblStylePr w:type="firstRow">
      <w:tcPr>
        <w:tcBorders>
          <w:bottom w:val="single" w:sz="18" w:space="0" w:color="5F497A"/>
        </w:tcBorders>
      </w:tcPr>
    </w:tblStylePr>
    <w:tblStylePr w:type="lastCol">
      <w:tcPr>
        <w:tcBorders>
          <w:left w:val="single" w:sz="18" w:space="0" w:color="5F497A"/>
        </w:tcBorders>
      </w:tcPr>
    </w:tblStylePr>
    <w:tblStylePr w:type="lastRow">
      <w:tcPr>
        <w:tcBorders>
          <w:top w:val="single" w:sz="18" w:space="0" w:color="5F497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31849B"/>
        </w:tcBorders>
      </w:tcPr>
    </w:tblStylePr>
    <w:tblStylePr w:type="firstRow">
      <w:tcPr>
        <w:tcBorders>
          <w:bottom w:val="single" w:sz="18" w:space="0" w:color="31849B"/>
        </w:tcBorders>
      </w:tcPr>
    </w:tblStylePr>
    <w:tblStylePr w:type="lastCol">
      <w:tcPr>
        <w:tcBorders>
          <w:left w:val="single" w:sz="18" w:space="0" w:color="31849B"/>
        </w:tcBorders>
      </w:tcPr>
    </w:tblStylePr>
    <w:tblStylePr w:type="lastRow">
      <w:tcPr>
        <w:tcBorders>
          <w:top w:val="single" w:sz="18" w:space="0" w:color="31849B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Col">
      <w:tcPr>
        <w:tcBorders>
          <w:right w:val="single" w:sz="18" w:space="0" w:color="E36C0A"/>
        </w:tcBorders>
      </w:tcPr>
    </w:tblStylePr>
    <w:tblStylePr w:type="firstRow">
      <w:tcPr>
        <w:tcBorders>
          <w:bottom w:val="single" w:sz="18" w:space="0" w:color="E36C0A"/>
        </w:tcBorders>
      </w:tcPr>
    </w:tblStylePr>
    <w:tblStylePr w:type="lastCol">
      <w:tcPr>
        <w:tcBorders>
          <w:left w:val="single" w:sz="18" w:space="0" w:color="E36C0A"/>
        </w:tcBorders>
      </w:tcPr>
    </w:tblStylePr>
    <w:tblStylePr w:type="lastRow">
      <w:tcPr>
        <w:tcBorders>
          <w:top w:val="single" w:sz="18" w:space="0" w:color="E36C0A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6">
    <w:name w:val="GenStyleDefTableGrid_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9">
    <w:name w:val="GenStyleDefTableGrid_9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0">
    <w:name w:val="GenStyleDefTableGrid_10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1">
    <w:name w:val="GenStyleDefTableGrid_1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a">
    <w:name w:val="Верхний колонтитул Знак"/>
    <w:basedOn w:val="DefaultParagraphFont"/>
    <w:uiPriority w:val="99"/>
  </w:style>
  <w:style w:type="character" w:customStyle="1" w:styleId="a0">
    <w:name w:val="Нижний колонтитул Знак"/>
    <w:basedOn w:val="DefaultParagraphFont"/>
    <w:uiPriority w:val="99"/>
  </w:style>
  <w:style w:type="character" w:customStyle="1" w:styleId="a1">
    <w:name w:val="Наименование суда Знак"/>
    <w:basedOn w:val="DefaultParagraphFont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2">
    <w:name w:val="Адрес суда Знак"/>
    <w:basedOn w:val="a1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3">
    <w:name w:val="Название Знак"/>
    <w:basedOn w:val="DefaultParagraphFont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4">
    <w:name w:val="Подзаголовок Знак"/>
    <w:basedOn w:val="DefaultParagraphFont"/>
    <w:uiPriority w:val="11"/>
    <w:rPr>
      <w:rFonts w:ascii="Times New Roman" w:hAnsi="Times New Roman" w:hint="default"/>
      <w:color w:val="5A5A5A"/>
      <w:spacing w:val="15"/>
    </w:rPr>
  </w:style>
  <w:style w:type="character" w:styleId="SubtleEmphasis">
    <w:name w:val="Subtle Emphasis"/>
    <w:basedOn w:val="DefaultParagraphFont"/>
    <w:uiPriority w:val="19"/>
    <w:rPr>
      <w:rFonts w:ascii="Times New Roman" w:hAnsi="Times New Roman" w:hint="default"/>
      <w:i/>
      <w:iCs/>
      <w:color w:val="404040"/>
    </w:rPr>
  </w:style>
  <w:style w:type="character" w:styleId="Emphasis">
    <w:name w:val="Emphasis"/>
    <w:basedOn w:val="DefaultParagraphFont"/>
    <w:uiPriority w:val="20"/>
    <w:rPr>
      <w:rFonts w:ascii="Times New Roman" w:hAnsi="Times New Roman" w:hint="default"/>
      <w:i/>
      <w:iCs/>
    </w:rPr>
  </w:style>
  <w:style w:type="character" w:styleId="IntenseEmphasis">
    <w:name w:val="Intense Emphasis"/>
    <w:basedOn w:val="DefaultParagraphFont"/>
    <w:uiPriority w:val="21"/>
    <w:rPr>
      <w:rFonts w:ascii="Times New Roman" w:hAnsi="Times New Roman" w:hint="default"/>
      <w:i/>
      <w:iCs/>
      <w:color w:val="5B9BD5"/>
    </w:rPr>
  </w:style>
  <w:style w:type="character" w:styleId="Strong">
    <w:name w:val="Strong"/>
    <w:basedOn w:val="DefaultParagraphFont"/>
    <w:uiPriority w:val="22"/>
    <w:rPr>
      <w:rFonts w:ascii="Times New Roman" w:hAnsi="Times New Roman" w:hint="default"/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hint="default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er">
    <w:name w:val="Head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6">
    <w:name w:val="Наименование суда"/>
    <w:basedOn w:val="Normal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7">
    <w:name w:val="Адрес суда"/>
    <w:basedOn w:val="a6"/>
    <w:qFormat/>
    <w:rPr>
      <w:b w:val="0"/>
      <w:caps w:val="0"/>
      <w:sz w:val="16"/>
      <w:lang w:val="ru-RU"/>
    </w:rPr>
  </w:style>
  <w:style w:type="paragraph" w:styleId="Title">
    <w:name w:val="Title"/>
    <w:basedOn w:val="Normal"/>
    <w:uiPriority w:val="10"/>
    <w:pPr>
      <w:spacing w:after="0"/>
      <w:contextualSpacing/>
    </w:pPr>
    <w:rPr>
      <w:sz w:val="56"/>
      <w:szCs w:val="56"/>
    </w:rPr>
  </w:style>
  <w:style w:type="paragraph" w:styleId="Subtitle">
    <w:name w:val="Subtitle"/>
    <w:basedOn w:val="Normal"/>
    <w:uiPriority w:val="11"/>
    <w:rPr>
      <w:color w:val="5A5A5A"/>
      <w:spacing w:val="15"/>
      <w:sz w:val="22"/>
    </w:rPr>
  </w:style>
  <w:style w:type="paragraph" w:styleId="BalloonText">
    <w:name w:val="Balloon Text"/>
    <w:basedOn w:val="Normal"/>
    <w:uiPriority w:val="99"/>
    <w:semiHidden/>
    <w:unhideWhenUsed/>
    <w:pPr>
      <w:spacing w:after="0"/>
    </w:pPr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Ascensio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