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>
      <w:pPr>
        <w:ind w:firstLine="0"/>
        <w:rPr>
          <w:rFonts w:ascii="Times New Roman" w:eastAsia="Times New Roman" w:hAnsi="Times New Roman" w:cs="Times New Roman" w:hint="default"/>
          <w:sz w:val="28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2"/>
        </w:tabs>
        <w:spacing w:before="0" w:after="0"/>
        <w:ind w:left="5669" w:right="0" w:hanging="566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b/>
          <w:color w:val="000000"/>
          <w:sz w:val="28"/>
        </w:rPr>
        <w:t>УТВЕРЖДАЮ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2"/>
        </w:tabs>
        <w:spacing w:before="0" w:after="0"/>
        <w:ind w:left="5669" w:right="0" w:hanging="566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Председатель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2"/>
        </w:tabs>
        <w:spacing w:before="0" w:after="0"/>
        <w:ind w:left="5669" w:right="0" w:hanging="566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судебной коллегии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2"/>
        </w:tabs>
        <w:spacing w:before="0" w:after="0"/>
        <w:ind w:left="5669" w:right="0" w:hanging="566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по уголовным делам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2"/>
        </w:tabs>
        <w:spacing w:before="0" w:after="0"/>
        <w:ind w:left="5669" w:right="0" w:hanging="566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Карагандинского областного суда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2"/>
        </w:tabs>
        <w:spacing w:before="0" w:after="0"/>
        <w:ind w:left="5669" w:right="0" w:hanging="566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____________Р.А. Нурмагамбетов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2"/>
        </w:tabs>
        <w:spacing w:before="0" w:after="0"/>
        <w:ind w:left="5669" w:right="0" w:hanging="566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«______» ____________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2016 года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961" w:right="0" w:firstLine="0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jc w:val="center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b/>
          <w:color w:val="000000"/>
          <w:sz w:val="28"/>
        </w:rPr>
        <w:t>П Л А Н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jc w:val="center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проведения образовательных мероприятий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jc w:val="center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по уголовному, уголовно-процессуальному, уголовно-исполнительному законодательствам на 2 полугодие 2016 года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tbl>
      <w:tblPr>
        <w:tblStyle w:val="GenStyleDef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4064"/>
        <w:gridCol w:w="2451"/>
        <w:gridCol w:w="2589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№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п/п</w:t>
            </w:r>
          </w:p>
        </w:tc>
        <w:tc>
          <w:tcPr>
            <w:tcW w:w="4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Сроки исполнения</w:t>
            </w:r>
          </w:p>
        </w:tc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Ответственные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4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Круглый стол на   тему: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«Исполнение   наказания в виде штрафа»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22.09.2016г.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Миночкина С.А.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«Уголовные правонарушения против личности»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30.09.2016г.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Жакупов   Ж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.К.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«Уголовные правонарушения против   конституционных и иных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br/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прав и свобод человека и гражданина»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30.09.2016г.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Нурмагамбетова К.Б.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Семинар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«Преступления против мира и   безопасности человечества»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30.09.2016г.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Спанов С.Р.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Лекция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«Техника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досудебного разбирательства»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30.09.2016г.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Салин А.А.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Круглый стол на  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«Рассмотрение   уголовных дел с применением процедуры медиации»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20.10.2016г.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Маукен Е.М.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Уголовные правонарушения против здоровья   населения и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br/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нравственности»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28.10.2016г.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Нурмуханова Р.Х.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Транспортные уголовные правонарушения»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28.10.2016г.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Тулеуов К.Ш.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«Уголовные правонарушения против   собственности»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28.10.2016г.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Миночкина   С.А.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Лекция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«Порядок осуществления права о конфискации   имущества, полученного незаконным путем, до вынесения приговора»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28.10.2016г.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Абишев Ж.Р.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Круглый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стол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«Возврат уголовных   дел прокурору по ст. 323 УПК РК»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17.11.2016г.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Тулеуов К.Ш.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Лекция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«Возобновление   производства по уголовному делу по вновь открывшимся обстоятельствам»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25.11.2016г.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Ма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у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кен Е.М.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Семинар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«Уголовные правонарушения против   семьи и несовершеннолетних»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25.11.2016г.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Жакупов Ж.К.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Семинар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«Наказание и   назначение наказания»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25.11.2016г.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Миночкина   С.А.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Семинар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«Имущественные   вопросы в уголовном процессе»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25.11.2016г.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Салин   А.А.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Круглый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стол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«Вопросы досудебного   расследования»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15.12.2016г.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Спанов С.Р.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Лекция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Принудительные меры медицинского характера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23.12.2016г.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Тулеуов А.К.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Семинар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«Рассмотрения   уголовных дел в согласительном производстве»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23.12.2016г.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Нурмагамбетова К.Б.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19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Семинар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«Требования и   составления судебных актов»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23.12.2016г.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Нурмуханова Р.Х.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Семинар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«У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головные правонарушения против правосудия и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br/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 порядка исполнения наказаний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23.12.2016г.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8"/>
              </w:rPr>
              <w:t>Абишев Ж.Р.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Судья,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координатор учебных программ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                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                   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К. Шагатаев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/>
    <w:p/>
    <w:sectPr>
      <w:headerReference w:type="default" r:id="rId4"/>
      <w:footerReference w:type="default" r:id="rId5"/>
      <w:pgSz w:w="11906" w:h="16838"/>
      <w:pgMar w:top="1134" w:right="851" w:bottom="1134" w:left="1701" w:header="85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Tahoma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  <w:font w:name="Cambr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Lines/>
      <w:ind w:firstLine="0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22" w:type="dxa"/>
      <w:jc w:val="center"/>
      <w:tblBorders>
        <w:bottom w:val="single" w:sz="4" w:space="0" w:color="AEAAAA"/>
      </w:tblBorders>
      <w:tblLayout w:type="fixed"/>
      <w:tblCellMar>
        <w:top w:w="57" w:type="dxa"/>
        <w:left w:w="0" w:type="dxa"/>
        <w:bottom w:w="170" w:type="dxa"/>
        <w:right w:w="57" w:type="dxa"/>
      </w:tblCellMar>
      <w:tblLook w:val="0680"/>
    </w:tblPr>
    <w:tblGrid>
      <w:gridCol w:w="2977"/>
      <w:gridCol w:w="6945"/>
    </w:tblGrid>
    <w:tr>
      <w:tblPrEx>
        <w:tblW w:w="9922" w:type="dxa"/>
        <w:jc w:val="center"/>
        <w:tblBorders>
          <w:bottom w:val="single" w:sz="4" w:space="0" w:color="AEAAAA"/>
        </w:tblBorders>
        <w:tblLayout w:type="fixed"/>
        <w:tblCellMar>
          <w:top w:w="57" w:type="dxa"/>
          <w:left w:w="0" w:type="dxa"/>
          <w:bottom w:w="170" w:type="dxa"/>
          <w:right w:w="57" w:type="dxa"/>
        </w:tblCellMar>
        <w:tblLook w:val="0680"/>
      </w:tblPrEx>
      <w:trPr>
        <w:trHeight w:val="425"/>
        <w:jc w:val="center"/>
      </w:trPr>
      <w:tc>
        <w:tcPr>
          <w:tcW w:w="2977" w:type="dxa"/>
          <w:shd w:val="clear" w:color="auto" w:fill="FFFFFF"/>
          <w:vAlign w:val="center"/>
        </w:tcPr>
        <w:p>
          <w:pPr>
            <w:pStyle w:val="a6"/>
            <w:widowControl w:val="0"/>
            <w:tabs>
              <w:tab w:val="right" w:pos="4904"/>
            </w:tabs>
            <w:jc w:val="left"/>
            <w:rPr>
              <w:color w:val="0070C0"/>
              <w:sz w:val="24"/>
            </w:rPr>
          </w:pPr>
          <w:r>
            <w:rPr>
              <w:color w:val="0070C0"/>
              <w:sz w:val="24"/>
              <w:szCs w:val="24"/>
              <w:lang w:val="en-US"/>
            </w:rPr>
            <w:drawing>
              <wp:inline distT="0" distB="0" distL="0" distR="0">
                <wp:extent cx="1800000" cy="37728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7728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1"/>
                          <a:stretch>
                            <a:fillRect/>
                          </a:stretch>
                        </a:blipFill>
                      </pic:spPr>
                    </pic:pic>
                  </a:graphicData>
                </a:graphic>
              </wp:inline>
            </w:drawing>
          </w:r>
          <w:r>
            <w:rPr>
              <w:caps w:val="0"/>
              <w:color w:val="0070C0"/>
              <w:sz w:val="24"/>
              <w:szCs w:val="24"/>
            </w:rPr>
            <w:tab/>
          </w:r>
        </w:p>
      </w:tc>
      <w:tc>
        <w:tcPr>
          <w:tcW w:w="6945" w:type="dxa"/>
          <w:shd w:val="clear" w:color="auto" w:fill="FFFFFF"/>
          <w:vAlign w:val="center"/>
        </w:tcPr>
        <w:p>
          <w:pPr>
            <w:pStyle w:val="a6"/>
            <w:jc w:val="right"/>
            <w:rPr>
              <w:caps w:val="0"/>
              <w:color w:val="000000"/>
              <w:sz w:val="24"/>
              <w:lang w:val="en-US"/>
            </w:rPr>
          </w:pPr>
          <w:r>
            <w:rPr>
              <w:caps w:val="0"/>
              <w:color w:val="000000"/>
              <w:sz w:val="24"/>
              <w:szCs w:val="24"/>
            </w:rPr>
            <w:t>Внутренняя корреспонденция</w:t>
          </w:r>
        </w:p>
        <w:p>
          <w:pPr>
            <w:pStyle w:val="a6"/>
            <w:jc w:val="right"/>
            <w:rPr>
              <w:caps w:val="0"/>
              <w:color w:val="000000"/>
              <w:sz w:val="24"/>
            </w:rPr>
          </w:pPr>
          <w:r>
            <w:rPr>
              <w:caps w:val="0"/>
              <w:color w:val="000000"/>
              <w:sz w:val="24"/>
              <w:szCs w:val="24"/>
            </w:rPr>
            <w:t xml:space="preserve">  № 3599-16-1-2-5/84 / 11.07.2016</w:t>
          </w:r>
        </w:p>
      </w:tc>
    </w:tr>
  </w:tbl>
  <w:p>
    <w:pPr>
      <w:ind w:left="-140" w:right="-139" w:firstLine="0"/>
      <w:rPr>
        <w:lang w:val="en-US"/>
      </w:rPr>
    </w:pPr>
    <w:r>
      <w:rPr>
        <w:rFonts w:ascii="Times New Roman" w:eastAsia="Times New Roman" w:hAnsi="Times New Roman" w:cs="Times New Roman" w:hint="default"/>
        <w:color w:val="000000"/>
        <w:sz w:val="20"/>
      </w:rPr>
      <w:t xml:space="preserve">Карагандинский областной суд / Администратор судов по Карагандинской области / Отдел анализа и планирования </w:t>
    </w: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2" o:title=""/>
        </v:shape>
      </w:pict>
    </w:r>
    <w:r>
      <w:pict>
        <v:shape id="_x0000_s2050" type="#_x0000_t75" style="height:600pt;margin-left:5pt;margin-top:50pt;mso-position-horizontal-relative:page;mso-position-vertical-relative:page;position:absolute;width:25pt;z-index:-251657216">
          <v:imagedata r:id="rId3" o:title=""/>
        </v:shape>
      </w:pict>
    </w:r>
    <w:r>
      <w:pict>
        <v:shape id="_x0000_s2051" type="#_x0000_t75" style="height:600pt;margin-left:15pt;margin-top:50pt;mso-position-horizontal-relative:page;mso-position-vertical-relative:page;position:absolute;width:25pt;z-index:-251656192">
          <v:imagedata r:id="rId4" o:title=""/>
        </v:shape>
      </w:pict>
    </w:r>
    <w:r>
      <w:pict>
        <v:shape id="_x0000_s2052" type="#_x0000_t75" style="height:400pt;margin-left:570pt;margin-top:250pt;mso-position-horizontal-relative:page;mso-position-vertical-relative:page;position:absolute;width:25pt;z-index:-251655168">
          <v:imagedata r:id="rId5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4144">
          <v:imagedata r:id="rId6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53120">
          <v:imagedata r:id="rId7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1"/>
    <w:multiLevelType w:val="hybridMultilevel"/>
    <w:tmpl w:val="00000000"/>
    <w:lvl w:ilvl="0">
      <w:start w:val="1"/>
      <w:numFmt w:val="decimal"/>
      <w:lvlText w:val="%1."/>
      <w:lvlJc w:val="left"/>
      <w:pPr>
        <w:ind w:left="360" w:hanging="359"/>
      </w:pPr>
    </w:lvl>
    <w:lvl w:ilvl="1">
      <w:start w:val="1"/>
      <w:numFmt w:val="lowerLetter"/>
      <w:lvlText w:val="%2."/>
      <w:lvlJc w:val="left"/>
      <w:pPr>
        <w:ind w:left="1080" w:hanging="359"/>
      </w:pPr>
    </w:lvl>
    <w:lvl w:ilvl="2">
      <w:start w:val="1"/>
      <w:numFmt w:val="lowerRoman"/>
      <w:lvlText w:val="%3."/>
      <w:lvlJc w:val="right"/>
      <w:pPr>
        <w:ind w:left="1800" w:hanging="179"/>
      </w:pPr>
    </w:lvl>
    <w:lvl w:ilvl="3">
      <w:start w:val="1"/>
      <w:numFmt w:val="decimal"/>
      <w:lvlText w:val="%4."/>
      <w:lvlJc w:val="left"/>
      <w:pPr>
        <w:ind w:left="2520" w:hanging="359"/>
      </w:pPr>
    </w:lvl>
    <w:lvl w:ilvl="4">
      <w:start w:val="1"/>
      <w:numFmt w:val="lowerLetter"/>
      <w:lvlText w:val="%5."/>
      <w:lvlJc w:val="left"/>
      <w:pPr>
        <w:ind w:left="3240" w:hanging="359"/>
      </w:pPr>
    </w:lvl>
    <w:lvl w:ilvl="5">
      <w:start w:val="1"/>
      <w:numFmt w:val="lowerRoman"/>
      <w:lvlText w:val="%6."/>
      <w:lvlJc w:val="right"/>
      <w:pPr>
        <w:ind w:left="3960" w:hanging="179"/>
      </w:pPr>
    </w:lvl>
    <w:lvl w:ilvl="6">
      <w:start w:val="1"/>
      <w:numFmt w:val="decimal"/>
      <w:lvlText w:val="%7."/>
      <w:lvlJc w:val="left"/>
      <w:pPr>
        <w:ind w:left="4680" w:hanging="359"/>
      </w:pPr>
    </w:lvl>
    <w:lvl w:ilvl="7">
      <w:start w:val="1"/>
      <w:numFmt w:val="lowerLetter"/>
      <w:lvlText w:val="%8."/>
      <w:lvlJc w:val="left"/>
      <w:pPr>
        <w:ind w:left="5400" w:hanging="359"/>
      </w:pPr>
    </w:lvl>
    <w:lvl w:ilvl="8">
      <w:start w:val="1"/>
      <w:numFmt w:val="lowerRoman"/>
      <w:lvlText w:val="%9."/>
      <w:lvlJc w:val="right"/>
      <w:pPr>
        <w:ind w:left="6120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 w:hint="default"/>
        <w:color w:val="000000"/>
        <w:spacing w:val="0"/>
        <w:position w:val="0"/>
        <w:sz w:val="22"/>
        <w:szCs w:val="22"/>
        <w:lang w:val="ru-RU" w:eastAsia="en-US" w:bidi="ar-SA"/>
      </w:rPr>
    </w:rPrDefault>
    <w:pPrDefault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0" w:beforeAutospacing="0" w:after="0" w:afterAutospacing="0" w:line="259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40" w:lineRule="auto"/>
      <w:ind w:firstLine="709"/>
      <w:jc w:val="both"/>
    </w:pPr>
    <w:rPr>
      <w:rFonts w:ascii="Times New Roman" w:hAnsi="Times New Roman" w:hint="default"/>
      <w:color w:val="00000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Heading2">
    <w:name w:val="Heading 2"/>
    <w:basedOn w:val="Normal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DefaultParagraphFont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DefaultParagraphFont"/>
    <w:uiPriority w:val="9"/>
    <w:semiHidden/>
    <w:rPr>
      <w:rFonts w:ascii="Times New Roman" w:hAnsi="Times New Roman" w:hint="default"/>
      <w:sz w:val="26"/>
      <w:szCs w:val="26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">
    <w:name w:val="GenStyleDefTableGrid_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2">
    <w:name w:val="GenStyleDefTableGrid_2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3">
    <w:name w:val="GenStyleDefTableGrid_3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4">
    <w:name w:val="GenStyleDefTableGrid_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5">
    <w:name w:val="GenStyleDefTableGrid_5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000000"/>
        </w:tcBorders>
      </w:tcPr>
    </w:tblStylePr>
    <w:tblStylePr w:type="firstRow">
      <w:tcPr>
        <w:tcBorders>
          <w:bottom w:val="single" w:sz="18" w:space="0" w:color="000000"/>
        </w:tcBorders>
      </w:tcPr>
    </w:tblStylePr>
    <w:tblStylePr w:type="lastCol">
      <w:tcPr>
        <w:tcBorders>
          <w:left w:val="single" w:sz="18" w:space="0" w:color="000000"/>
        </w:tcBorders>
      </w:tcPr>
    </w:tblStylePr>
    <w:tblStylePr w:type="lastRow">
      <w:tcPr>
        <w:tcBorders>
          <w:top w:val="single" w:sz="18" w:space="0" w:color="000000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365F91"/>
        </w:tcBorders>
      </w:tcPr>
    </w:tblStylePr>
    <w:tblStylePr w:type="firstRow">
      <w:tcPr>
        <w:tcBorders>
          <w:bottom w:val="single" w:sz="18" w:space="0" w:color="365F91"/>
        </w:tcBorders>
      </w:tcPr>
    </w:tblStylePr>
    <w:tblStylePr w:type="lastCol">
      <w:tcPr>
        <w:tcBorders>
          <w:left w:val="single" w:sz="18" w:space="0" w:color="365F91"/>
        </w:tcBorders>
      </w:tcPr>
    </w:tblStylePr>
    <w:tblStylePr w:type="lastRow">
      <w:tcPr>
        <w:tcBorders>
          <w:top w:val="single" w:sz="18" w:space="0" w:color="365F91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943634"/>
        </w:tcBorders>
      </w:tcPr>
    </w:tblStylePr>
    <w:tblStylePr w:type="firstRow">
      <w:tcPr>
        <w:tcBorders>
          <w:bottom w:val="single" w:sz="18" w:space="0" w:color="943634"/>
        </w:tcBorders>
      </w:tcPr>
    </w:tblStylePr>
    <w:tblStylePr w:type="lastCol">
      <w:tcPr>
        <w:tcBorders>
          <w:left w:val="single" w:sz="18" w:space="0" w:color="943634"/>
        </w:tcBorders>
      </w:tcPr>
    </w:tblStylePr>
    <w:tblStylePr w:type="lastRow">
      <w:tcPr>
        <w:tcBorders>
          <w:top w:val="single" w:sz="18" w:space="0" w:color="943634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76923C"/>
        </w:tcBorders>
      </w:tcPr>
    </w:tblStylePr>
    <w:tblStylePr w:type="firstRow">
      <w:tcPr>
        <w:tcBorders>
          <w:bottom w:val="single" w:sz="18" w:space="0" w:color="76923C"/>
        </w:tcBorders>
      </w:tcPr>
    </w:tblStylePr>
    <w:tblStylePr w:type="lastCol">
      <w:tcPr>
        <w:tcBorders>
          <w:left w:val="single" w:sz="18" w:space="0" w:color="76923C"/>
        </w:tcBorders>
      </w:tcPr>
    </w:tblStylePr>
    <w:tblStylePr w:type="lastRow">
      <w:tcPr>
        <w:tcBorders>
          <w:top w:val="single" w:sz="18" w:space="0" w:color="76923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5F497A"/>
        </w:tcBorders>
      </w:tcPr>
    </w:tblStylePr>
    <w:tblStylePr w:type="firstRow">
      <w:tcPr>
        <w:tcBorders>
          <w:bottom w:val="single" w:sz="18" w:space="0" w:color="5F497A"/>
        </w:tcBorders>
      </w:tcPr>
    </w:tblStylePr>
    <w:tblStylePr w:type="lastCol">
      <w:tcPr>
        <w:tcBorders>
          <w:left w:val="single" w:sz="18" w:space="0" w:color="5F497A"/>
        </w:tcBorders>
      </w:tcPr>
    </w:tblStylePr>
    <w:tblStylePr w:type="lastRow">
      <w:tcPr>
        <w:tcBorders>
          <w:top w:val="single" w:sz="18" w:space="0" w:color="5F497A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31849B"/>
        </w:tcBorders>
      </w:tcPr>
    </w:tblStylePr>
    <w:tblStylePr w:type="firstRow">
      <w:tcPr>
        <w:tcBorders>
          <w:bottom w:val="single" w:sz="18" w:space="0" w:color="31849B"/>
        </w:tcBorders>
      </w:tcPr>
    </w:tblStylePr>
    <w:tblStylePr w:type="lastCol">
      <w:tcPr>
        <w:tcBorders>
          <w:left w:val="single" w:sz="18" w:space="0" w:color="31849B"/>
        </w:tcBorders>
      </w:tcPr>
    </w:tblStylePr>
    <w:tblStylePr w:type="lastRow">
      <w:tcPr>
        <w:tcBorders>
          <w:top w:val="single" w:sz="18" w:space="0" w:color="31849B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E36C0A"/>
        </w:tcBorders>
      </w:tcPr>
    </w:tblStylePr>
    <w:tblStylePr w:type="firstRow">
      <w:tcPr>
        <w:tcBorders>
          <w:bottom w:val="single" w:sz="18" w:space="0" w:color="E36C0A"/>
        </w:tcBorders>
      </w:tcPr>
    </w:tblStylePr>
    <w:tblStylePr w:type="lastCol">
      <w:tcPr>
        <w:tcBorders>
          <w:left w:val="single" w:sz="18" w:space="0" w:color="E36C0A"/>
        </w:tcBorders>
      </w:tcPr>
    </w:tblStylePr>
    <w:tblStylePr w:type="lastRow">
      <w:tcPr>
        <w:tcBorders>
          <w:top w:val="single" w:sz="18" w:space="0" w:color="E36C0A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GenStyleDefTableGrid6">
    <w:name w:val="GenStyleDefTableGrid_6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7">
    <w:name w:val="GenStyleDefTableGrid_7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8">
    <w:name w:val="GenStyleDefTableGrid_8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9">
    <w:name w:val="GenStyleDefTableGrid_9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0">
    <w:name w:val="GenStyleDefTableGrid_10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1">
    <w:name w:val="GenStyleDefTableGrid_1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a">
    <w:name w:val="Верхний колонтитул Знак"/>
    <w:basedOn w:val="DefaultParagraphFont"/>
    <w:uiPriority w:val="99"/>
  </w:style>
  <w:style w:type="character" w:customStyle="1" w:styleId="a0">
    <w:name w:val="Нижний колонтитул Знак"/>
    <w:basedOn w:val="DefaultParagraphFont"/>
    <w:uiPriority w:val="99"/>
  </w:style>
  <w:style w:type="character" w:customStyle="1" w:styleId="a1">
    <w:name w:val="Наименование суда Знак"/>
    <w:basedOn w:val="DefaultParagraphFont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2">
    <w:name w:val="Адрес суда Знак"/>
    <w:basedOn w:val="a1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3">
    <w:name w:val="Название Знак"/>
    <w:basedOn w:val="DefaultParagraphFont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4">
    <w:name w:val="Подзаголовок Знак"/>
    <w:basedOn w:val="DefaultParagraphFont"/>
    <w:uiPriority w:val="11"/>
    <w:rPr>
      <w:rFonts w:ascii="Times New Roman" w:hAnsi="Times New Roman" w:hint="default"/>
      <w:color w:val="5A5A5A"/>
      <w:spacing w:val="15"/>
    </w:rPr>
  </w:style>
  <w:style w:type="character" w:styleId="SubtleEmphasis">
    <w:name w:val="Subtle Emphasis"/>
    <w:basedOn w:val="DefaultParagraphFont"/>
    <w:uiPriority w:val="19"/>
    <w:rPr>
      <w:rFonts w:ascii="Times New Roman" w:hAnsi="Times New Roman" w:hint="default"/>
      <w:i/>
      <w:iCs/>
      <w:color w:val="404040"/>
    </w:rPr>
  </w:style>
  <w:style w:type="character" w:styleId="Emphasis">
    <w:name w:val="Emphasis"/>
    <w:basedOn w:val="DefaultParagraphFont"/>
    <w:uiPriority w:val="20"/>
    <w:rPr>
      <w:rFonts w:ascii="Times New Roman" w:hAnsi="Times New Roman" w:hint="default"/>
      <w:i/>
      <w:iCs/>
    </w:rPr>
  </w:style>
  <w:style w:type="character" w:styleId="IntenseEmphasis">
    <w:name w:val="Intense Emphasis"/>
    <w:basedOn w:val="DefaultParagraphFont"/>
    <w:uiPriority w:val="21"/>
    <w:rPr>
      <w:rFonts w:ascii="Times New Roman" w:hAnsi="Times New Roman" w:hint="default"/>
      <w:i/>
      <w:iCs/>
      <w:color w:val="5B9BD5"/>
    </w:rPr>
  </w:style>
  <w:style w:type="character" w:styleId="Strong">
    <w:name w:val="Strong"/>
    <w:basedOn w:val="DefaultParagraphFont"/>
    <w:uiPriority w:val="22"/>
    <w:rPr>
      <w:rFonts w:ascii="Times New Roman" w:hAnsi="Times New Roman" w:hint="default"/>
      <w:b/>
      <w:bCs/>
    </w:rPr>
  </w:style>
  <w:style w:type="character" w:customStyle="1" w:styleId="a5">
    <w:name w:val="Текст выноски Знак"/>
    <w:basedOn w:val="DefaultParagraphFont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hint="default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</w:style>
  <w:style w:type="paragraph" w:customStyle="1" w:styleId="Header">
    <w:name w:val="Head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6">
    <w:name w:val="Наименование суда"/>
    <w:basedOn w:val="Normal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7">
    <w:name w:val="Адрес суда"/>
    <w:basedOn w:val="a6"/>
    <w:qFormat/>
    <w:rPr>
      <w:b w:val="0"/>
      <w:caps w:val="0"/>
      <w:sz w:val="16"/>
      <w:lang w:val="ru-RU"/>
    </w:rPr>
  </w:style>
  <w:style w:type="paragraph" w:styleId="Title">
    <w:name w:val="Title"/>
    <w:basedOn w:val="Normal"/>
    <w:uiPriority w:val="10"/>
    <w:pPr>
      <w:spacing w:after="0"/>
      <w:contextualSpacing/>
    </w:pPr>
    <w:rPr>
      <w:sz w:val="56"/>
      <w:szCs w:val="56"/>
    </w:rPr>
  </w:style>
  <w:style w:type="paragraph" w:styleId="Subtitle">
    <w:name w:val="Subtitle"/>
    <w:basedOn w:val="Normal"/>
    <w:uiPriority w:val="11"/>
    <w:rPr>
      <w:color w:val="5A5A5A"/>
      <w:spacing w:val="15"/>
      <w:sz w:val="22"/>
    </w:rPr>
  </w:style>
  <w:style w:type="paragraph" w:styleId="BalloonText">
    <w:name w:val="Balloon Text"/>
    <w:basedOn w:val="Normal"/>
    <w:uiPriority w:val="99"/>
    <w:semiHidden/>
    <w:unhideWhenUsed/>
    <w:pPr>
      <w:spacing w:after="0"/>
    </w:pPr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Ascensio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